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14S1-DNRN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Doradztwo na rynku nieruchomości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Real Estate Consultancy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Doradztwo jako działalność usługowa. Obszar i zakres działalności doradcy majątkowego na rynku nieruchomości. Metody i narzędzia pracy doradcy.  Rynek nieruchomości jako przedmiot doradztwa. Prowadzenie działalności  na rynku nieruchomości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Przykłady ekspertyz wykonanie opracowań i projektów: 1. Analiza możliwości lokalizacyjnych terenów na określony cel (wybór najlepszej lokalizacji inwestycji). 2. Opracowanie studium przypadków dotyczącego analizy najlepszego sposobu wykorzystania nieruchomości. 3. Opracowanie studium opłacalności zmiany funkcji dla lokalu mieszkalnego. 4. Analiza opłacalności nabycia gruntu przez inwestora i optymalnego wykorzystania.</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kształcenia jest nabycie przez studenta podstawowej wiedzy w zakresie prowadzenia działalności doradztwa majątkowego na rynku nieruchomości, organizacji biura, pozyskiwania klientów oraz wykonywania ekspertyz i analiz na potrzeby inwestorów i innych podmiotów działających na rynku nieruchomości, w tym analiz finansowo-ekonomicznych i opłacalności inwestowania w nieruchomości.</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S/GEP1A_K01+, InzA_K02+, S/GEP1A_K07+, IT/IL1A_K06+, S/GEP1A_U10+, InzA_U02+, S/GEP1A_U09+, IT/IL1A_U09+, InzA_W03+, InzA_W05+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GP1A_DnRN_K01+, GP1A_DnRN_K06+, GP1A_DnRN_U04+, GP1A_DnRN_U10+, GP1A_DnRN_W17+, GP1A_DnRN_W19+</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myśleć i działać w sposób przedsiębiorczy oraz rozumie potrzebę doskonalenia zawodowego oraz podnoszenia kwalifikacji; potrafi inspirować i organizować proces uczenia się innych osób</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przygotować i przedstawić w języku polskim prezentację ustną i multimedialną dotyczącą szczegółowych zagadnień z zakresu doradztwa majątkowego oraz wykorzystać do formułowania i rozwiązywania zadań z zakresu doradztwa majątkowego metody analityczne, symulacyjne oraz eksperymentalne.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podstawową wiedzę niezbędną do rozumienia społecznych, ekonomicznych, prawnych i innych pozatechnicznych uwarunkowań działalności w zakresie doradztwa majątkowego, zna typowe technologie inżynierskie w zakresie doradztwa majątkowego.</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problemowy z prezentacją multimedialną-Doradztwo jako działalność usługowa. Obszar i zakres działalności doradcy majątkowego na rynku nieruchomości. Metody i narzędzia pracy doradcy.  Rynek nieruchomości jako przedmiot doradztwa. Prowadzenie działalności  na rynku nieruchomości</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'U1']-opracowanie projektowe, praca w grupie, dyskusja problemowa-Przykłady ekspertyz wykonanie opracowań i projektów: 1. Analiza możliwości lokalizacyjnych terenów na określony cel (wybór najlepszej lokalizacji inwestycji). 2. Opracowanie studium przypadków dotyczącego analizy najlepszego sposobu wykorzystania nieruchomości. 3. Opracowanie studium opłacalności zmiany funkcji dla lokalu mieszkalnego. 4. Analiza opłacalności nabycia gruntu przez inwestora i optymalnego wykorzystania.</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 'U1', 'K1']-Pytania otwarte i zadania. Udzielenie, co najmniej 60%, pozytywnych odpowiedzi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pisemne)-['W1', 'U1']-Pozytywne zaliczenie kolokwium oraz projektów na ocenę, w tym oceny cząstkowe otrzymane w trakcie trwania semestru za określone działania</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Tajemnice kuchni doradcy rynku nieruchomości</w:t>
                  </w:r>
                  <w:r>
                    <w:rPr>
                      <w:rFonts w:eastAsia="Calibri" w:cs="" w:cstheme="minorBidi" w:eastAsiaTheme="minorHAnsi"/>
                      <w:color w:val="auto"/>
                      <w:kern w:val="0"/>
                      <w:sz w:val="22"/>
                      <w:szCs w:val="22"/>
                      <w:lang w:val="pl-PL" w:eastAsia="en-US" w:bidi="ar-SA"/>
                    </w:rPr>
                    <w:t xml:space="preserve">, Jard Shlaes,  Polska Federacja Rynku Nieruchomości. Gdynia, 2000, Strony: , Tom:CRE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Zarządzanie finansami nieruchomości</w:t>
                  </w:r>
                  <w:r>
                    <w:rPr>
                      <w:rFonts w:eastAsia="Calibri" w:cs="" w:cstheme="minorBidi" w:eastAsiaTheme="minorHAnsi"/>
                      <w:color w:val="auto"/>
                      <w:kern w:val="0"/>
                      <w:sz w:val="22"/>
                      <w:szCs w:val="22"/>
                      <w:lang w:val="pl-PL" w:eastAsia="en-US" w:bidi="ar-SA"/>
                    </w:rPr>
                    <w:t xml:space="preserve">, Dębniewska M., M. Tkaczuk,  UWM Olsztyn, 2002,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Doradztwo majątkowe w obszarze rynku nieruchomości. Wycena Nr 2 (79) </w:t>
                  </w:r>
                  <w:r>
                    <w:rPr>
                      <w:rFonts w:eastAsia="Calibri" w:cs="" w:cstheme="minorBidi" w:eastAsiaTheme="minorHAnsi"/>
                      <w:color w:val="auto"/>
                      <w:kern w:val="0"/>
                      <w:sz w:val="22"/>
                      <w:szCs w:val="22"/>
                      <w:lang w:val="pl-PL" w:eastAsia="en-US" w:bidi="ar-SA"/>
                    </w:rPr>
                    <w:t xml:space="preserve">, KURYJ J. ,  Educaterra. Olsztyn, 2007, Strony: 39-47,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Doradztwo na rynku nieruchomości</w:t>
                  </w:r>
                  <w:r>
                    <w:rPr>
                      <w:rFonts w:eastAsia="Calibri" w:cs="" w:cstheme="minorBidi" w:eastAsiaTheme="minorHAnsi"/>
                      <w:color w:val="auto"/>
                      <w:kern w:val="0"/>
                      <w:sz w:val="22"/>
                      <w:szCs w:val="22"/>
                      <w:lang w:val="pl-PL" w:eastAsia="en-US" w:bidi="ar-SA"/>
                    </w:rPr>
                    <w:t xml:space="preserve">, Foryś I,  wyd. PFRN, Warszawa, 2008,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Skuteczne sposoby inwestowania w nieruchomości</w:t>
                  </w:r>
                  <w:r>
                    <w:rPr>
                      <w:rFonts w:eastAsia="Calibri" w:cs="" w:cstheme="minorBidi" w:eastAsiaTheme="minorHAnsi"/>
                      <w:color w:val="auto"/>
                      <w:kern w:val="0"/>
                      <w:sz w:val="22"/>
                      <w:szCs w:val="22"/>
                      <w:lang w:val="pl-PL" w:eastAsia="en-US" w:bidi="ar-SA"/>
                    </w:rPr>
                    <w:t xml:space="preserve">, Kleczewski D.,  Rozpisani.pl,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Rachunek opłacalności inwestowania</w:t>
                  </w:r>
                  <w:r>
                    <w:rPr>
                      <w:rFonts w:eastAsia="Calibri" w:cs="" w:cstheme="minorBidi" w:eastAsiaTheme="minorHAnsi"/>
                      <w:color w:val="auto"/>
                      <w:kern w:val="0"/>
                      <w:sz w:val="22"/>
                      <w:szCs w:val="22"/>
                      <w:lang w:val="pl-PL" w:eastAsia="en-US" w:bidi="ar-SA"/>
                    </w:rPr>
                    <w:t xml:space="preserve">, Nowak E., E. Pielichaty, M. Poszwa,  PWE. Warszawa, 1999,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Jak bez wysiłku i pieniędzy zarabiać na nieruchomościach</w:t>
                  </w:r>
                  <w:r>
                    <w:rPr>
                      <w:rFonts w:eastAsia="Calibri" w:cs="" w:cstheme="minorBidi" w:eastAsiaTheme="minorHAnsi"/>
                      <w:color w:val="auto"/>
                      <w:kern w:val="0"/>
                      <w:sz w:val="22"/>
                      <w:szCs w:val="22"/>
                      <w:lang w:val="pl-PL" w:eastAsia="en-US" w:bidi="ar-SA"/>
                    </w:rPr>
                    <w:t xml:space="preserve">, Markiewicz L.,  Poligraf, 2021,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Nie daj się oszukać na rynku nieruchomości</w:t>
                  </w:r>
                  <w:r>
                    <w:rPr>
                      <w:rFonts w:eastAsia="Calibri" w:cs="" w:cstheme="minorBidi" w:eastAsiaTheme="minorHAnsi"/>
                      <w:color w:val="auto"/>
                      <w:kern w:val="0"/>
                      <w:sz w:val="22"/>
                      <w:szCs w:val="22"/>
                      <w:lang w:val="pl-PL" w:eastAsia="en-US" w:bidi="ar-SA"/>
                    </w:rPr>
                    <w:t xml:space="preserve">, Kuśmierczyk K.,  Novae Res, 2015,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ABC. Jak inwestować w nieruchomości</w:t>
                  </w:r>
                  <w:r>
                    <w:rPr>
                      <w:rFonts w:eastAsia="Calibri" w:cs="" w:cstheme="minorBidi" w:eastAsiaTheme="minorHAnsi"/>
                      <w:color w:val="auto"/>
                      <w:kern w:val="0"/>
                      <w:sz w:val="22"/>
                      <w:szCs w:val="22"/>
                      <w:lang w:val="pl-PL" w:eastAsia="en-US" w:bidi="ar-SA"/>
                    </w:rPr>
                    <w:t xml:space="preserve">, Ken McElroy,  Instytut Praktycznej Edukacji, 2011,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color w:val="auto"/>
                      <w:kern w:val="0"/>
                      <w:sz w:val="22"/>
                      <w:szCs w:val="22"/>
                      <w:lang w:val="pl-PL" w:eastAsia="en-US" w:bidi="ar-SA"/>
                    </w:rPr>
                    <w:t xml:space="preserve">https://www.taniaksiazka.pl/skuteczne-sposoby-inwestowania-w-nieruchomosci-damian-kleczewski-p-521120.html </w:t>
                  </w:r>
                  <w:r>
                    <w:rPr>
                      <w:rFonts w:eastAsia="Calibri" w:cs="" w:cstheme="minorBidi" w:eastAsiaTheme="minorHAnsi"/>
                      <w:color w:val="auto"/>
                      <w:kern w:val="0"/>
                      <w:sz w:val="22"/>
                      <w:szCs w:val="22"/>
                      <w:lang w:val="pl-PL" w:eastAsia="en-US" w:bidi="ar-SA"/>
                    </w:rPr>
                    <w:t xml:space="preserve">(literatura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color w:val="auto"/>
                      <w:kern w:val="0"/>
                      <w:sz w:val="22"/>
                      <w:szCs w:val="22"/>
                      <w:lang w:val="pl-PL" w:eastAsia="en-US" w:bidi="ar-SA"/>
                    </w:rPr>
                    <w:t xml:space="preserve">https://www.taniaksiazka.pl/nie-daj-sie-oszukac-na-rynku-nieruchomosci-katarzyna-kusmierczyk-p-561229.html </w:t>
                  </w:r>
                  <w:r>
                    <w:rPr>
                      <w:rFonts w:eastAsia="Calibri" w:cs="" w:cstheme="minorBidi" w:eastAsiaTheme="minorHAnsi"/>
                      <w:color w:val="auto"/>
                      <w:kern w:val="0"/>
                      <w:sz w:val="22"/>
                      <w:szCs w:val="22"/>
                      <w:lang w:val="pl-PL" w:eastAsia="en-US" w:bidi="ar-SA"/>
                    </w:rPr>
                    <w:t xml:space="preserve">(literatura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color w:val="auto"/>
                      <w:kern w:val="0"/>
                      <w:sz w:val="22"/>
                      <w:szCs w:val="22"/>
                      <w:lang w:val="pl-PL" w:eastAsia="en-US" w:bidi="ar-SA"/>
                    </w:rPr>
                    <w:t xml:space="preserve">https://www.taniaksiazka.pl/skuteczne-sposoby-inwestowania-w-nieruchomosci-damian-kleczewski-p-521120.html </w:t>
                  </w:r>
                  <w:r>
                    <w:rPr>
                      <w:rFonts w:eastAsia="Calibri" w:cs="" w:cstheme="minorBidi" w:eastAsiaTheme="minorHAnsi"/>
                      <w:color w:val="auto"/>
                      <w:kern w:val="0"/>
                      <w:sz w:val="22"/>
                      <w:szCs w:val="22"/>
                      <w:lang w:val="pl-PL" w:eastAsia="en-US" w:bidi="ar-SA"/>
                    </w:rPr>
                    <w:t xml:space="preserve">(literatura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(Gospodarka przestrzenna),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Fakultatywny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C - przedmioty specjalnościowe/związane z zakresem kształcenia</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nauki społeczne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Doradztwo na rynku nieruchomości trzeci rok semestr szósty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znajomość podstaw prawa rzeczowego i procedur gospodarki nieruchomościami, wyceny nieruchomości</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Jan Kuryj, jkuryj@uwm.edu.pl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14S1-DNRN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Doradztwo na rynku nieruchomości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2024L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Real Estate Consultancy</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4.00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50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sprawozdań i projektów</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egzaminu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50.00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100.00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100.00</w:t>
      </w:r>
      <w:r>
        <w:rPr/>
        <w:t xml:space="preserve"> h :  25 h/ECTS = </w:t>
      </w:r>
      <w:r>
        <w:rPr>
          <w:rFonts w:eastAsia="Calibri" w:cs="" w:cstheme="minorBidi" w:eastAsiaTheme="minorHAnsi"/>
          <w:b/>
          <w:bCs/>
          <w:color w:val="auto"/>
          <w:kern w:val="0"/>
          <w:sz w:val="22"/>
          <w:szCs w:val="22"/>
          <w:lang w:val="pl-PL" w:eastAsia="en-US" w:bidi="ar-SA"/>
        </w:rPr>
        <w:t xml:space="preserve">4.00</w:t>
      </w:r>
      <w:r>
        <w:rPr/>
        <w:t xml:space="preserve"> ECTS </w:t>
      </w:r>
    </w:p>
    <w:p>
      <w:pPr>
        <w:pStyle w:val="Normal"/>
        <w:rPr>
          <w:b/>
          <w:b/>
          <w:bCs/>
        </w:rPr>
      </w:pPr>
      <w:r>
        <w:rPr/>
        <w:t xml:space="preserve">Średnio: 4.00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