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
</w:t>
              <w:br/>
              <w:t xml:space="preserve">intelektualnej. treść prawa własności intelektualnej - prawa autorskie i pokrewne. Ograniczenia praw autorskich.
</w:t>
              <w:br/>
              <w:t xml:space="preserve">Dozwolony użytek osobisty i publiczny utworów. Naruszenie praw autorskich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S/GEP1A_U06+, S/GEP1A_W10+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GP1A_DnRN_U22+, GP1A_DnRN_W06+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 Podmioty prawa własności
</w:t>
                    <w:br/>
                    <w:t xml:space="preserve">intelektualnej. treść prawa własności intelektualnej - prawa autorskie i pokrewne. Ograniczenia praw autorskich.
</w:t>
                    <w:br/>
                    <w:t xml:space="preserve">Dozwolony użytek osobisty i publiczny utworów. Naruszenie praw autorskich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 4.25 h</w:t>
              <w:br/>
              <w:t xml:space="preserve">OGÓŁEM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