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</w:t>
              <w:br/>
              <w:t xml:space="preserve">następujących tematów: zapoznawanie się, system edukacji i szkolnictwa wyższego, opis człowieka i</w:t>
              <w:br/>
              <w:t xml:space="preserve">osobowości, rodzina, uczucia, podróże, nauka języków obcych i migracja, udzielanie rad, monitoring, tradycyjne role kobiet i mężczyzn, zażalenia, aktualności z kraju i zagranicy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</w:t>
                    <w:br/>
                    <w:t xml:space="preserve">następujących tematów: zapoznawanie się, system edukacji i szkolnictwa wyższego, opis człowieka i</w:t>
                    <w:br/>
                    <w:t xml:space="preserve">osobowości, rodzina, uczucia, podróże, nauka języków obcych i migracja, udzielanie rad, monitoring, tradycyjne role kobiet i mężczyzn, zażalenia, aktualności z kraju i zagranicy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Rosyjski dla średnio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Ślęzak, Agnieszka; Tokarczyk, Olga,  Edgard,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Aula Internacional 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Corpas, Jaime; Garcia, Eva; Garmendia, Augustin,  Difusíon, 2010,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deklarowana znajomość języka obcego na poziomie A2+ zgodnie z tabelą ESOKJ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