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14S1-PPR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Podstawy przedsiębiorczości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Fundamentals of Entrepreneurship</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Pojęcie przedsiębiorcy i działalności gospodarczej. Działalność nierejestrowa (pojęcie, możliwości, limity, obowiązki). Formy organizacyjno-prawne prowadzenia działalności gospodarczej. Procedury i formalności związane z zakładaniem przedsiębiorstwa. Polska klasyfikacja działalności. Rodzaje podatków płaconych przez przedsiębiorcę. Sposoby płacenia podatków. Obowiązki przedsiębiorcy wobec zakładu ubezpieczeń społecznych (ulgi, stawki preferencyjne, pełne składki). Rodzaje umów z pracownikami i osobami pracującymi w przedsiębiorstwie. Ochrona danych osobowych. Zamówienia publiczne.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Praktyczne aspekty zakładania przedsiębiorstwa. Wypełnianie wniosku rejestracyjnego dla osoby fizycznej. Procedura wypełniania wniosku rejestracyjnego dla spółek osobowych (jawna, partnerska, komandytowa). Formalności niezbędne przy zakładaniu spółki kapitałowej. Sposoby rozliczania podatku dochodowego od osób fizycznych i prawnych. Wybór wariantu opłacania składek na ubezpieczenia społeczne. Zawieranie umowy zlecenie i umowy o dzieło. Zawieranie umowy o pracę. Przygotowanie projektu "Jestem przedsiębiorcą"</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Nabycie wiedzy niezbędnej do świadomego i odpowiedzialnego zaplanowania oraz podjęcia własnej działalności gospodarczej.</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InzA_K02+, IT/IL1A_K06+, S/GEP1A_U06+, S/GEP1A_W11+, IT/IL1A_W11+</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GP1A_DnRN_K06+, GP1A_DnRN_U22+, GP1A_DnRN_W07+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myśleć i działać w sposób przedsiębiorczy prawidłowo identyfikując i rozwiązując problemy organizacyjne i finansowe oraz ma świadomość wagi tych działań.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Słuchacz rozumie potrzebę samokształcenia i samodzielnego planowania własnej kariery zawodowej. Identyfikuje, ocenia i rozwiązuje problemy z zakresu prowadzenia przedsiębiorstwa.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planowania i podejmowania działalności gospodarczej, a także zna zasady tworzenia i wspierania przedsiębiorczości indywidualnej. </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Wykład-['K1', 'U1', 'W1']-Wykład z prezentacją multimedialną-Pojęcie przedsiębiorcy i działalności gospodarczej. Działalność nierejestrowa (pojęcie, możliwości, limity, obowiązki). Formy organizacyjno-prawne prowadzenia działalności gospodarczej. Procedury i formalności związane z zakładaniem przedsiębiorstwa. Polska klasyfikacja działalności. Rodzaje podatków płaconych przez przedsiębiorcę. Sposoby płacenia podatków. Obowiązki przedsiębiorcy wobec zakładu ubezpieczeń społecznych (ulgi, stawki preferencyjne, pełne składki). Rodzaje umów z pracownikami i osobami pracującymi w przedsiębiorstwie. Ochrona danych osobowych. Zamówienia publiczne.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Ćwiczenia-['K1', 'U1', 'W1']-Zajęcia praktyczne - wypełnianie rzeczywistych formularzy, zawieranie umów zgodnych ze wzorcem-Praktyczne aspekty zakładania przedsiębiorstwa. Wypełnianie wniosku rejestracyjnego dla osoby fizycznej. Procedura wypełniania wniosku rejestracyjnego dla spółek osobowych (jawna, partnerska, komandytowa). Formalności niezbędne przy zakładaniu spółki kapitałowej. Sposoby rozliczania podatku dochodowego od osób fizycznych i prawnych. Wybór wariantu opłacania składek na ubezpieczenia społeczne. Zawieranie umowy zlecenie i umowy o dzieło. Zawieranie umowy o pracę. Przygotowanie projektu "Jestem przedsiębiorcą"</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Wykład-(Sprawdzian pisemny)-['K1', 'U1', 'W1']-Test zaliczeniowy / w przypadku nauki zdalnej - zadanie zaliczeniowe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Ćwiczenia-(Projekt)-['K1', 'U1', 'W1']-Przygotowanie projektu "Jestem przedsiębiorcą"</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Ustawa o podatku dochodowym od osób prawnych (ze zmianami)</w:t>
                  </w:r>
                  <w:r>
                    <w:rPr>
                      <w:rFonts w:eastAsia="Calibri" w:cs="" w:cstheme="minorBidi" w:eastAsiaTheme="minorHAnsi"/>
                      <w:color w:val="auto"/>
                      <w:kern w:val="0"/>
                      <w:sz w:val="22"/>
                      <w:szCs w:val="22"/>
                      <w:lang w:val="pl-PL" w:eastAsia="en-US" w:bidi="ar-SA"/>
                    </w:rPr>
                    <w:t xml:space="preserve">, Sejm RP,  Ustawa, 1992,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Ustawa o rachunkowości (ze zmianami)</w:t>
                  </w:r>
                  <w:r>
                    <w:rPr>
                      <w:rFonts w:eastAsia="Calibri" w:cs="" w:cstheme="minorBidi" w:eastAsiaTheme="minorHAnsi"/>
                      <w:color w:val="auto"/>
                      <w:kern w:val="0"/>
                      <w:sz w:val="22"/>
                      <w:szCs w:val="22"/>
                      <w:lang w:val="pl-PL" w:eastAsia="en-US" w:bidi="ar-SA"/>
                    </w:rPr>
                    <w:t xml:space="preserve">, Sejm RP,  Ustawa, 1994,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https://www.biznes.gov.pl/pl</w:t>
                  </w:r>
                  <w:r>
                    <w:rPr>
                      <w:rFonts w:eastAsia="Calibri" w:cs="" w:cstheme="minorBidi" w:eastAsiaTheme="minorHAnsi"/>
                      <w:color w:val="auto"/>
                      <w:kern w:val="0"/>
                      <w:sz w:val="22"/>
                      <w:szCs w:val="22"/>
                      <w:lang w:val="pl-PL" w:eastAsia="en-US" w:bidi="ar-SA"/>
                    </w:rPr>
                    <w:t xml:space="preserve">, Ministerstwo,  Serwis informacyjno-usługowy dla przedsiębiorcy,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https://www.gov.pl/web/finanse</w:t>
                  </w:r>
                  <w:r>
                    <w:rPr>
                      <w:rFonts w:eastAsia="Calibri" w:cs="" w:cstheme="minorBidi" w:eastAsiaTheme="minorHAnsi"/>
                      <w:color w:val="auto"/>
                      <w:kern w:val="0"/>
                      <w:sz w:val="22"/>
                      <w:szCs w:val="22"/>
                      <w:lang w:val="pl-PL" w:eastAsia="en-US" w:bidi="ar-SA"/>
                    </w:rPr>
                    <w:t xml:space="preserve">, Ministerstwo Finansów,  Serwis Rzeczypospolitej Polskiej, 2021,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Ustawa o systemie ubezpieczeń społecznych (ze zmianami)</w:t>
                  </w:r>
                  <w:r>
                    <w:rPr>
                      <w:rFonts w:eastAsia="Calibri" w:cs="" w:cstheme="minorBidi" w:eastAsiaTheme="minorHAnsi"/>
                      <w:color w:val="auto"/>
                      <w:kern w:val="0"/>
                      <w:sz w:val="22"/>
                      <w:szCs w:val="22"/>
                      <w:lang w:val="pl-PL" w:eastAsia="en-US" w:bidi="ar-SA"/>
                    </w:rPr>
                    <w:t xml:space="preserve">, Sejm RP,  Ustawa, 1998,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Prawo przedsiębiorców (ze zmianami)</w:t>
                  </w:r>
                  <w:r>
                    <w:rPr>
                      <w:rFonts w:eastAsia="Calibri" w:cs="" w:cstheme="minorBidi" w:eastAsiaTheme="minorHAnsi"/>
                      <w:color w:val="auto"/>
                      <w:kern w:val="0"/>
                      <w:sz w:val="22"/>
                      <w:szCs w:val="22"/>
                      <w:lang w:val="pl-PL" w:eastAsia="en-US" w:bidi="ar-SA"/>
                    </w:rPr>
                    <w:t xml:space="preserve">, Sejm RP,  Ustawa, 2018,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Kodeks spółek handlowych (ze zmianami)</w:t>
                  </w:r>
                  <w:r>
                    <w:rPr>
                      <w:rFonts w:eastAsia="Calibri" w:cs="" w:cstheme="minorBidi" w:eastAsiaTheme="minorHAnsi"/>
                      <w:color w:val="auto"/>
                      <w:kern w:val="0"/>
                      <w:sz w:val="22"/>
                      <w:szCs w:val="22"/>
                      <w:lang w:val="pl-PL" w:eastAsia="en-US" w:bidi="ar-SA"/>
                    </w:rPr>
                    <w:t xml:space="preserve">, Sejm RP,  Ustawa, 2000,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Kodeks Cywilny (ze zmianami)</w:t>
                  </w:r>
                  <w:r>
                    <w:rPr>
                      <w:rFonts w:eastAsia="Calibri" w:cs="" w:cstheme="minorBidi" w:eastAsiaTheme="minorHAnsi"/>
                      <w:color w:val="auto"/>
                      <w:kern w:val="0"/>
                      <w:sz w:val="22"/>
                      <w:szCs w:val="22"/>
                      <w:lang w:val="pl-PL" w:eastAsia="en-US" w:bidi="ar-SA"/>
                    </w:rPr>
                    <w:t xml:space="preserve">, Sejm RP,  Ustawa, 1964,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Ustawa o podatku dochodowych od osób fizycznych (ze zmianami)</w:t>
                  </w:r>
                  <w:r>
                    <w:rPr>
                      <w:rFonts w:eastAsia="Calibri" w:cs="" w:cstheme="minorBidi" w:eastAsiaTheme="minorHAnsi"/>
                      <w:color w:val="auto"/>
                      <w:kern w:val="0"/>
                      <w:sz w:val="22"/>
                      <w:szCs w:val="22"/>
                      <w:lang w:val="pl-PL" w:eastAsia="en-US" w:bidi="ar-SA"/>
                    </w:rPr>
                    <w:t xml:space="preserve">, Sejm RP,  Ustawa, 1991,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Kodeks Pracy (ze zmianami)</w:t>
                  </w:r>
                  <w:r>
                    <w:rPr>
                      <w:rFonts w:eastAsia="Calibri" w:cs="" w:cstheme="minorBidi" w:eastAsiaTheme="minorHAnsi"/>
                      <w:color w:val="auto"/>
                      <w:kern w:val="0"/>
                      <w:sz w:val="22"/>
                      <w:szCs w:val="22"/>
                      <w:lang w:val="pl-PL" w:eastAsia="en-US" w:bidi="ar-SA"/>
                    </w:rPr>
                    <w:t xml:space="preserve">, Sejm RP,  Ustawa, 1974,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"Podstawy nauki o przedsiębiorstwie." 2) Moczydłowska J., Pacewicz J., 2007r., "Przedsiębiorczość", wyd. Wyd. Oświatowe „FOSZE”, Rzeszów, 3) Latoszek E., 2008r., "Finansowanie MSP w Polsce ze środków finansowych UE jako czynnik wpływający na konkurencyjność przedsiębiorstw.", wyd. Wyd. SGH, Warszawa</w:t>
                  </w:r>
                  <w:r>
                    <w:rPr>
                      <w:rFonts w:eastAsia="Calibri" w:cs="" w:cstheme="minorBidi" w:eastAsiaTheme="minorHAnsi"/>
                      <w:color w:val="auto"/>
                      <w:kern w:val="0"/>
                      <w:sz w:val="22"/>
                      <w:szCs w:val="22"/>
                      <w:lang w:val="pl-PL" w:eastAsia="en-US" w:bidi="ar-SA"/>
                    </w:rPr>
                    <w:t xml:space="preserve">, Lichtarski J.,  wyd. Wyd. Akademii Ekonomicznej im. O. Langego we Wrocł,, 2007,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(Gospodarka przestrzenna),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Nauki społeczne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ekonomii, podstawy zarządzania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z zakresu ekonomii i zarządzania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Alina Źróbek-Różańska, alina.zrobek@uwm.edu.pl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14S1-PPR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Podstawy przedsiębiorczości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Fundamentals of Entrepreneurship</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Zebranie i przeczytanie ze zrozumieniem wszystkich niezbędnych aktów prawnych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sprawdzianu/realizacja zadania zaliczeniowego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9.00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Praca koncepcyjna nad projektem zaliczeniowym</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projektu (forma pisemna i graficzna)</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1.80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