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14S1-PPR</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Podstawy przedsiębiorczości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Fundamentals of Entrepreneurship</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Praktyczne aspekty zakładania przedsiębiorstwa. Wypełnianie wniosku rejestracyjnego dla osoby fizycznej. Procedura wypełniania wniosku rejestracyjnego dla spółek osobowych (jawna, partnerska, komandytowa). Formalności niezbędne przy zakładaniu spółki kapitałowej. Sposoby rozliczania podatku dochodowego od osób fizycznych i prawnych. Wybór wariantu opłacania składek na ubezpieczenia społeczne. Zawieranie umowy zlecenie i umowy o dzieło. Zawieranie umowy o pracę. Przygotowanie projektu "Jestem przedsiębiorcą"</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Pojęcie przedsiębiorcy i działalności gospodarczej. Działalność nierejestrowa (pojęcie, możliwości, limity, obowiązki). Formy organizacyjno-prawne prowadzenia działalności gospodarczej. Procedury i formalności związane z zakładaniem przedsiębiorstwa. Polska klasyfikacja działalności. Rodzaje podatków płaconych przez przedsiębiorcę. Sposoby płacenia podatków. Obowiązki przedsiębiorcy wobec zakładu ubezpieczeń społecznych (ulgi, stawki preferencyjne, pełne składki). Rodzaje umów z pracownikami i osobami pracującymi w przedsiębiorstwie.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Nabycie wiedzy niezbędnej do świadomego i odpowiedzialnego zaplanowania oraz podjęcia własnej działalności gospodarczej.</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myśleć i działać w sposób przedsiębiorczy prawidłowo identyfikując i rozwiązując problemy organizacyjne i finansowe oraz ma świadomość wagi tych działań.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Słuchacz rozumie potrzebę samokształcenia i samodzielnego planowania własnej kariery zawodowej. Identyfikuje, ocenia i rozwiązuje problemy z zakresu prowadzenia przedsiębiorstwa.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z zakresu planowania i podejmowania działalności gospodarczej, a także zna zasady tworzenia i wspierania przedsiębiorczości indywidualnej.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wiedzę niezbędną do rozpoczęcia własnej działalności gospodarczej</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Ćwiczenia-['W1', 'U1', 'K1', 'W2']-Zajęcia praktyczne - wypełnianie rzeczywistych formularzy i wniosków, zawieranie umów zgodnych ze wzorcem-Praktyczne aspekty zakładania przedsiębiorstwa. Wypełnianie wniosku rejestracyjnego dla osoby fizycznej. Procedura wypełniania wniosku rejestracyjnego dla spółek osobowych (jawna, partnerska, komandytowa). Formalności niezbędne przy zakładaniu spółki kapitałowej. Sposoby rozliczania podatku dochodowego od osób fizycznych i prawnych. Wybór wariantu opłacania składek na ubezpieczenia społeczne. Zawieranie umowy zlecenie i umowy o dzieło. Zawieranie umowy o pracę. Przygotowanie projektu "Jestem przedsiębiorcą"</w:t>
                  </w:r>
                </w:p>
              </w:tc>
            </w:tr>
            <w:tr>
              <w:trPr/>
              <w:tc>
                <w:tcPr>
                  <w:tcW w:w="8284" w:type="dxa"/>
                  <w:tcBorders>
                    <w:top w:val="nil"/>
                    <w:left w:val="nil"/>
                    <w:bottom w:val="nil"/>
                    <w:right w:val="nil"/>
                  </w:tcBorders>
                </w:tcPr>
                <w:p>
                  <w:pPr>
                    <w:pStyle w:val="Normal"/>
                    <w:spacing w:lineRule="auto" w:line="240" w:before="0" w:after="0"/>
                    <w:jc w:val="both"/>
                    <w:rPr/>
                  </w:pPr>
                  <w:r>
                    <w:rPr/>
                    <w:t xml:space="preserve">Wykład-['W1', 'U1', 'K1', 'W2']-Wykład z prezentacją multimedialną i dyskusją-Pojęcie przedsiębiorcy i działalności gospodarczej. Działalność nierejestrowa (pojęcie, możliwości, limity, obowiązki). Formy organizacyjno-prawne prowadzenia działalności gospodarczej. Procedury i formalności związane z zakładaniem przedsiębiorstwa. Polska klasyfikacja działalności. Rodzaje podatków płaconych przez przedsiębiorcę. Sposoby płacenia podatków. Obowiązki przedsiębiorcy wobec zakładu ubezpieczeń społecznych (ulgi, stawki preferencyjne, pełne składki). Rodzaje umów z pracownikami i osobami pracującymi w przedsiębiorstwie.</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Wykład-(Sprawdzian pisemny)-['W1', 'W2']-Test zaliczeniowy / w przypadku nauki zdalnej - zadanie zaliczeniowe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Ćwiczenia-(Ocena pracy i wspólpracy w grupie)-['W1', 'U1', 'K1', 'W2']-Ocena końcowa jest średnią z uzyskanych ocen cząstkowych - każde zadanie realizowane na ćwiczeniach indywidualnie lub w parach jest oceniane osobno</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Ustawa o podatku dochodowym od osób prawnych (ze zmianami)</w:t>
                  </w:r>
                  <w:r>
                    <w:rPr>
                      <w:rFonts w:eastAsia="Calibri" w:cs="" w:cstheme="minorBidi" w:eastAsiaTheme="minorHAnsi"/>
                      <w:color w:val="auto"/>
                      <w:kern w:val="0"/>
                      <w:sz w:val="22"/>
                      <w:szCs w:val="22"/>
                      <w:lang w:val="pl-PL" w:eastAsia="en-US" w:bidi="ar-SA"/>
                    </w:rPr>
                    <w:t xml:space="preserve">, Sejm RP,  Ustawa, 1992,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Ustawa o podatku dochodowym od osób fizycznych (ze zmianami)</w:t>
                  </w:r>
                  <w:r>
                    <w:rPr>
                      <w:rFonts w:eastAsia="Calibri" w:cs="" w:cstheme="minorBidi" w:eastAsiaTheme="minorHAnsi"/>
                      <w:color w:val="auto"/>
                      <w:kern w:val="0"/>
                      <w:sz w:val="22"/>
                      <w:szCs w:val="22"/>
                      <w:lang w:val="pl-PL" w:eastAsia="en-US" w:bidi="ar-SA"/>
                    </w:rPr>
                    <w:t xml:space="preserve">, Sejm RP,  Ustawa, 1991,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Ustawa o rachunkowości (ze zmianami)</w:t>
                  </w:r>
                  <w:r>
                    <w:rPr>
                      <w:rFonts w:eastAsia="Calibri" w:cs="" w:cstheme="minorBidi" w:eastAsiaTheme="minorHAnsi"/>
                      <w:color w:val="auto"/>
                      <w:kern w:val="0"/>
                      <w:sz w:val="22"/>
                      <w:szCs w:val="22"/>
                      <w:lang w:val="pl-PL" w:eastAsia="en-US" w:bidi="ar-SA"/>
                    </w:rPr>
                    <w:t xml:space="preserve">, Sejm RP,  Ustawa, 1994,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Ustawa o systemie ubezpieczeń społecznych (ze zmianami)</w:t>
                  </w:r>
                  <w:r>
                    <w:rPr>
                      <w:rFonts w:eastAsia="Calibri" w:cs="" w:cstheme="minorBidi" w:eastAsiaTheme="minorHAnsi"/>
                      <w:color w:val="auto"/>
                      <w:kern w:val="0"/>
                      <w:sz w:val="22"/>
                      <w:szCs w:val="22"/>
                      <w:lang w:val="pl-PL" w:eastAsia="en-US" w:bidi="ar-SA"/>
                    </w:rPr>
                    <w:t xml:space="preserve">, Sejm RP,  Ustawa, 1998,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Prawo przedsiębiorców (ze zmianami)</w:t>
                  </w:r>
                  <w:r>
                    <w:rPr>
                      <w:rFonts w:eastAsia="Calibri" w:cs="" w:cstheme="minorBidi" w:eastAsiaTheme="minorHAnsi"/>
                      <w:color w:val="auto"/>
                      <w:kern w:val="0"/>
                      <w:sz w:val="22"/>
                      <w:szCs w:val="22"/>
                      <w:lang w:val="pl-PL" w:eastAsia="en-US" w:bidi="ar-SA"/>
                    </w:rPr>
                    <w:t xml:space="preserve">, Sejm RP,  Ustawa, 2018,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Kodeks spółek handlowych (ze zmianami)</w:t>
                  </w:r>
                  <w:r>
                    <w:rPr>
                      <w:rFonts w:eastAsia="Calibri" w:cs="" w:cstheme="minorBidi" w:eastAsiaTheme="minorHAnsi"/>
                      <w:color w:val="auto"/>
                      <w:kern w:val="0"/>
                      <w:sz w:val="22"/>
                      <w:szCs w:val="22"/>
                      <w:lang w:val="pl-PL" w:eastAsia="en-US" w:bidi="ar-SA"/>
                    </w:rPr>
                    <w:t xml:space="preserve">, Sejm RP,  Ustawa, 2000,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Kodeks Cywilny (ze zmianami)</w:t>
                  </w:r>
                  <w:r>
                    <w:rPr>
                      <w:rFonts w:eastAsia="Calibri" w:cs="" w:cstheme="minorBidi" w:eastAsiaTheme="minorHAnsi"/>
                      <w:color w:val="auto"/>
                      <w:kern w:val="0"/>
                      <w:sz w:val="22"/>
                      <w:szCs w:val="22"/>
                      <w:lang w:val="pl-PL" w:eastAsia="en-US" w:bidi="ar-SA"/>
                    </w:rPr>
                    <w:t xml:space="preserve">, Sejm RP,  Ustawa, 1964,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Kodeks Pracy (ze zmianami)</w:t>
                  </w:r>
                  <w:r>
                    <w:rPr>
                      <w:rFonts w:eastAsia="Calibri" w:cs="" w:cstheme="minorBidi" w:eastAsiaTheme="minorHAnsi"/>
                      <w:color w:val="auto"/>
                      <w:kern w:val="0"/>
                      <w:sz w:val="22"/>
                      <w:szCs w:val="22"/>
                      <w:lang w:val="pl-PL" w:eastAsia="en-US" w:bidi="ar-SA"/>
                    </w:rPr>
                    <w:t xml:space="preserve">, Sejm RP,  Ustawa, 1974,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https://www.biznes.gov.pl/pl</w:t>
                  </w:r>
                  <w:r>
                    <w:rPr>
                      <w:rFonts w:eastAsia="Calibri" w:cs="" w:cstheme="minorBidi" w:eastAsiaTheme="minorHAnsi"/>
                      <w:color w:val="auto"/>
                      <w:kern w:val="0"/>
                      <w:sz w:val="22"/>
                      <w:szCs w:val="22"/>
                      <w:lang w:val="pl-PL" w:eastAsia="en-US" w:bidi="ar-SA"/>
                    </w:rPr>
                    <w:t xml:space="preserve">, ,  , 2022,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i/>
                      <w:iCs/>
                      <w:color w:val="auto"/>
                      <w:kern w:val="0"/>
                      <w:sz w:val="22"/>
                      <w:szCs w:val="22"/>
                      <w:lang w:val="pl-PL" w:eastAsia="en-US" w:bidi="ar-SA"/>
                    </w:rPr>
                    <w:t xml:space="preserve">https://www.gov.pl/web/finanse</w:t>
                  </w:r>
                  <w:r>
                    <w:rPr>
                      <w:rFonts w:eastAsia="Calibri" w:cs="" w:cstheme="minorBidi" w:eastAsiaTheme="minorHAnsi"/>
                      <w:color w:val="auto"/>
                      <w:kern w:val="0"/>
                      <w:sz w:val="22"/>
                      <w:szCs w:val="22"/>
                      <w:lang w:val="pl-PL" w:eastAsia="en-US" w:bidi="ar-SA"/>
                    </w:rPr>
                    <w:t xml:space="preserve">, ,  , 2022,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11.  </w:t>
                  </w:r>
                  <w:r>
                    <w:rPr>
                      <w:rFonts w:eastAsia="Calibri" w:cs="" w:cstheme="minorBidi" w:eastAsiaTheme="minorHAnsi"/>
                      <w:b/>
                      <w:bCs/>
                      <w:i/>
                      <w:iCs/>
                      <w:color w:val="auto"/>
                      <w:kern w:val="0"/>
                      <w:sz w:val="22"/>
                      <w:szCs w:val="22"/>
                      <w:lang w:val="pl-PL" w:eastAsia="en-US" w:bidi="ar-SA"/>
                    </w:rPr>
                    <w:t xml:space="preserve">https://www.funduszeeuropejskie.gov.pl/</w:t>
                  </w:r>
                  <w:r>
                    <w:rPr>
                      <w:rFonts w:eastAsia="Calibri" w:cs="" w:cstheme="minorBidi" w:eastAsiaTheme="minorHAnsi"/>
                      <w:color w:val="auto"/>
                      <w:kern w:val="0"/>
                      <w:sz w:val="22"/>
                      <w:szCs w:val="22"/>
                      <w:lang w:val="pl-PL" w:eastAsia="en-US" w:bidi="ar-SA"/>
                    </w:rPr>
                    <w:t xml:space="preserve">, ,  , 2022, Strony: , Tom:  (literatura podstawowa)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Nauki społeczne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Gospodarka przestrzenna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Gospodarka przestrzenna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podstawy ekonomii, podstawy zarządzania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podstawowa wiedza z zakresu ekonomii i zarządzania</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Alina Źróbek-Różańska, alina.zrobek@uwm.edu.pl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14S1-PPR</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Podstawy przedsiębiorczości</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Fundamentals of Entrepreneurship</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30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Zebranie i przeczytanie ze zrozumieniem wszystkich niezbędnych aktów prawnych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20.00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sprawdzianu/realizacja zadania zaliczeniowego</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6.00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się do realizacji zadań</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15.00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Utrwalenie materiału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45.00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1.20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1.80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