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S/GEP1A_K02+, IT/IL1A_K03+, S/GEP1A_K03+, IT/IL1A_K04+, IT/IL1A_U02+, S/GEP1A_U02+, S/GEP1A_U06+, S/GEP1A_W11+, IT/IL1A_W11+, S/GEP1A_W07+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GP1A_DnRN_K03+, GP1A_DnRN_K04+, GP1A_DnRN_U02+, GP1A_DnRN_U22+, GP1A_DnRN_W07+, GP1A_DnRN_W12+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komunikować się w sposób spełniający wymagania norm językowych.</w:t>
                    <w:br/>
                    <w:t xml:space="preserve"> stosować zasady etykiety i kurtuazji w życiu społecznym i zawodowym</w:t>
                    <w:br/>
                    <w:t xml:space="preserve">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menadżera czyli sztuka dobrych manier w prowadzeniu interesów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Pietkiewicz E.,  Lettrex, 1990, Strony: ss. 125,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Protokół dyplomatyczny, etykieta i zasady savoir-vivre’u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Modrzańska J.,  Wolters Kluwer , 2016, Strony: s. 248-281,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http://dobremaniery24.pl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pracy – współczesne najwyższe standardy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Jabłonowska L., Myśliwiec G.,  Difin, 2014, Strony: ss. 212,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https://obycie.pl/blog/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916/2012  (Gospodarka przestrzenna),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Gospodarka przestrzenna - studia pierwszego stopnia - inżynierskie 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Gospodarka przestrzenna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Pierwszego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2900SX-MK-ETYKIETA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