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GiK1A_GiG_U14+, GIK1A_GIG_W14+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 Jaime; Garcia, Eva; Garmendia, Augustin,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