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08N1-CTZGSAT1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zadań praktycznych, integracja pomiarów statycznych i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samodzielnego przeprowadzenia pomiarów GNSS/RTK, przeprowadzenie analiz dokładności</w:t>
              <w:br/>
              <w:t xml:space="preserve">wyznaczeń współrzędnych technikami GNSS.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Samodzielnie wykonuje postprocessing surowych obserwacji GNSS, zarówno pomiarów statycznych i</w:t>
                    <w:br/>
                    <w:t xml:space="preserve">kinematycznych. Wyrównuje sieci geodezyjne 3D przy wykorzystaniu różnych wariantów nawiązania, poziomego</w:t>
                    <w:br/>
                    <w:t xml:space="preserve">i wysokościowego.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sieci geodezyjne GNSS oraz przeprowadzić pomiary satelitarne RTK. Potrafi wykorzystywać statyczne i kinematyczne metody pozycjonowania, w różnych warunkach obserwacyjnych.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satelitarne metody pomiaru oraz opracowania obserwacji GNSS.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zdań praktycznych, integracja pomiarów statycznych i pomiarów RTK.-Wykonanie zadań praktycznych, integracja pomiarów statycznych i pomiarów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'K1']-Wykonanie sprawozdanie z wykonanej pracy.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B. Hofmann-Wellenhof i in.,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Potrafi samodzielnie przeprowadzać pomiary GNSS oraz je opracować.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08N1-CTZGSAT1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