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08N1-INFORgik</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Informatyka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Pamięć operacyjna i masowa. Archiwizacja i kompresja danych. Komparacja i zarządzanie archiwum. Idea algorytmu i programu. Translatory. Wykorzystanie programowania w geodezji. Typy i deklaracje zmiennych. Kluczowe instrukcje programowe. Funkcje standardowe. Zmienne indeksowane. Łańcuchy tekstowe. Programowanie strukturalne. Konstrukcja funkcji niestandardowych. Wymiana danych między programami przez sieć komputerową. Rodzaje dostępu do danych. Programowanie grafiki komputerowej. Zastosowania grafiki wektorowej i rastrowej w programach geodezyjnych. Zasady dostępu do danych zewnętrznych i operacje dyskowe. Generacje i rodzaje języków programowania. Struktura i rodzaje sieci komputerowych. Protokoły transmisji danych w sieci. Przetwarzanie danych w „chmurze”. Zastosowanie prawa w informatyce. Licencje programowe.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Wykorzystanie archiwizatorów i komparacja danych. Schemat blokowy i mapa pamięci. Zastosowanie programowania w obliczeniach geodezyjnych. Wykorzystanie zmiennych indeksowanych do operacji na wykazach danych i obliczeń macierzowych. Programowanie strukturalne. Wykorzystanie funkcji niestandardowych w programach geodezyjnych. Zastosowanie operacji dyskowych. Przetwarzanie plików sekwencyjnych. Opracowanie wyników pomiarów geodezyjnych. Obiekty graficzne. Programowanie grafiki rastrowej i wektorowej oraz jej wykorzystanie w geoinformatyce. Generowanie wykresów.</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Uświadomienie potrzeby archiwizacji danych; analiza problemu przy pomocy schematów i algorytmów; wykorzystania narzędzi programistycznych do rozwiązywania zagadnień obliczeniowych z geoinformatyki; nauka zasad programowania w wybranych językach z uwzględnieniem przetwarzania danych i obserwacji geodezyjnych; poznanie struktur i rodzajów sieci komputerowych; zapoznanie z prawem autorskim i rodzajami licencji programowych.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InzA_U02+, InzA_U01+, IT/IL1A_U05+, IT/IL1A_U01+, IT/IL1A_U07+, IT/IL1A_W07+, InzA_W02+, IT/IL1A_W05+,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GiK1A_GiG_K04+, GiK1A_GiG_U03+, GiK1A_GiG_W03+</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Rozumie potrzebę ochrony danych oraz ma świadomość potrzeby ulepszania aplikacji i modyfikacji komputerowego środowiska pracy. Jest otwarty na nowinki techniczne w zakresie języków programowania. Rozumie potrzebę rozwoju, ulepszania i ciągłej modyfikacji algorytmów i schematów funkcjonalnych.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Dba o bezpieczeństwo danych dokonując zabezpieczeń i archiwizacji. Opracowuje algorytmy i schematy funkcjonalne. Programuje i dokonuje analiz numerycznych w wybranych językach programowania. Wykorzystuje narzędzia programistyczne do rozwiązywania zagadnień obliczeniowych z zakresu geodezji i geoinformatyki.  Posługuje się sieciami komputerowymi. Interpretuje prawo w zakresie informatyki oraz wykorzystania licencji programowych.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Określa potrzeby zabezpieczania i archiwizacji danych. Posiada wiedzę na temat algorytmów przetwarzania danych. Rozróżnia techniki programowania liniowego, strukturalnego i obiektowo-zdarzeniowego w wybranych językach programowania. Posiada wiedzę z zakresu wykorzystania sieci komputerowej. Definiuje stosowanie prawa w informatyce i charakteryzuje licencje programowe.</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problemowy. Wykład z prezentacją multimedialną. Interaktywna analiza kodu źródłowego programów.-Pamięć operacyjna i masowa. Archiwizacja i kompresja danych. Komparacja i zarządzanie archiwum. Idea algorytmu i programu. Translatory. Wykorzystanie programowania w geodezji. Typy i deklaracje zmiennych. Kluczowe instrukcje programowe. Funkcje standardowe. Zmienne indeksowane. Łańcuchy tekstowe. Programowanie strukturalne. Konstrukcja funkcji niestandardowych. Wymiana danych między programami przez sieć komputerową. Rodzaje dostępu do danych. Programowanie grafiki komputerowej. Zastosowania grafiki wektorowej i rastrowej w programach geodezyjnych. Zasady dostępu do danych zewnętrznych i operacje dyskowe. Generacje i rodzaje języków programowania. Struktura i rodzaje sieci komputerowych. Protokoły transmisji danych w sieci. Przetwarzanie danych w „chmurze”. Zastosowanie prawa w informatyce. Licencje programowe.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komputerowe i projektowe, rozwiązywanie zadań programistycznych zgodnych z tematyką ćwiczeń, tworzenie dokumentacji elektronicznej, rozwiązywanie zagadnień informatycznych określonych schematami blokowymi. Wykonanie sprawozdań w postaci elektronicznej oraz projektu obejmującego utworzenie aplikacji programowej z dziedziny geoinformatyki w wybranym języku programowania.-Wykorzystanie archiwizatorów i komparacja danych. Schemat blokowy i mapa pamięci. Zastosowanie programowania w obliczeniach geodezyjnych. Wykorzystanie zmiennych indeksowanych do operacji na wykazach danych i obliczeń macierzowych. Programowanie strukturalne. Wykorzystanie funkcji niestandardowych w programach geodezyjnych. Zastosowanie operacji dyskowych. Przetwarzanie plików sekwencyjnych. Opracowanie wyników pomiarów geodezyjnych. Obiekty graficzne. Programowanie grafiki rastrowej i wektorowej oraz jej wykorzystanie w geoinformatyce. Generowanie wykresów.</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pisemny)-['W1']-Ocena wiedzy z wykładów (test wielokrotnego wyboru z pytaniami otwartymi).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Wykład-(Kolokwium pisemne)-['W1']-Ocena wiedzy z wykładów (dokumentacja elektroniczna).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Ćwiczenia-(Egzamin pisemny)-['U1']-Ocena wiedzy z ćwiczeń (test wielokrotnego wyboru z pytaniami otwartymi).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'K1']-Ocena sprawozdań elektronicznych utworzonych podczas ćwiczeń i pracy własnej. Zaliczenie na ocenę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Ćwiczenia-(Projekt)-['U1', 'K1']-Ocena projektu obejmującego utworzenie aplikacji programowej z dziedziny geoinformatyki w wybranym języku programowania (60% zalicza).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praktyczne)-['U1']-Ocena wykonania na komputerze zadań zgodnych z problematyką ćwiczeń (dokumentacja elektroniczna). Zaliczenie na ocenę (60% zalicza).</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Archiwizacja i odzyskiwanie danych</w:t>
                  </w:r>
                  <w:r>
                    <w:rPr>
                      <w:rFonts w:eastAsia="Calibri" w:cs="" w:cstheme="minorBidi" w:eastAsiaTheme="minorHAnsi"/>
                      <w:color w:val="auto"/>
                      <w:kern w:val="0"/>
                      <w:sz w:val="22"/>
                      <w:szCs w:val="22"/>
                      <w:lang w:val="pl-PL" w:eastAsia="en-US" w:bidi="ar-SA"/>
                    </w:rPr>
                    <w:t xml:space="preserve">, Curtis Preston,  Helion,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Algorytmy</w:t>
                  </w:r>
                  <w:r>
                    <w:rPr>
                      <w:rFonts w:eastAsia="Calibri" w:cs="" w:cstheme="minorBidi" w:eastAsiaTheme="minorHAnsi"/>
                      <w:color w:val="auto"/>
                      <w:kern w:val="0"/>
                      <w:sz w:val="22"/>
                      <w:szCs w:val="22"/>
                      <w:lang w:val="pl-PL" w:eastAsia="en-US" w:bidi="ar-SA"/>
                    </w:rPr>
                    <w:t xml:space="preserve">, Sanjoy Dasgupta,  Wydawnictwo Naukowe PWN,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Podstawy programowania</w:t>
                  </w:r>
                  <w:r>
                    <w:rPr>
                      <w:rFonts w:eastAsia="Calibri" w:cs="" w:cstheme="minorBidi" w:eastAsiaTheme="minorHAnsi"/>
                      <w:color w:val="auto"/>
                      <w:kern w:val="0"/>
                      <w:sz w:val="22"/>
                      <w:szCs w:val="22"/>
                      <w:lang w:val="pl-PL" w:eastAsia="en-US" w:bidi="ar-SA"/>
                    </w:rPr>
                    <w:t xml:space="preserve">, Wincenty Pirjanowicz,  Wydawnictwo UWM,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Head First Sieci komputerowe</w:t>
                  </w:r>
                  <w:r>
                    <w:rPr>
                      <w:rFonts w:eastAsia="Calibri" w:cs="" w:cstheme="minorBidi" w:eastAsiaTheme="minorHAnsi"/>
                      <w:color w:val="auto"/>
                      <w:kern w:val="0"/>
                      <w:sz w:val="22"/>
                      <w:szCs w:val="22"/>
                      <w:lang w:val="pl-PL" w:eastAsia="en-US" w:bidi="ar-SA"/>
                    </w:rPr>
                    <w:t xml:space="preserve">, .  Al Anderson, Ryan Benedetti,  Helion,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Matlab dla naukowców i inżynierów</w:t>
                  </w:r>
                  <w:r>
                    <w:rPr>
                      <w:rFonts w:eastAsia="Calibri" w:cs="" w:cstheme="minorBidi" w:eastAsiaTheme="minorHAnsi"/>
                      <w:color w:val="auto"/>
                      <w:kern w:val="0"/>
                      <w:sz w:val="22"/>
                      <w:szCs w:val="22"/>
                      <w:lang w:val="pl-PL" w:eastAsia="en-US" w:bidi="ar-SA"/>
                    </w:rPr>
                    <w:t xml:space="preserve">, Rudra Pratap,  Wydawnictwo Naukowe PWN,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Matlab dla studentów</w:t>
                  </w:r>
                  <w:r>
                    <w:rPr>
                      <w:rFonts w:eastAsia="Calibri" w:cs="" w:cstheme="minorBidi" w:eastAsiaTheme="minorHAnsi"/>
                      <w:color w:val="auto"/>
                      <w:kern w:val="0"/>
                      <w:sz w:val="22"/>
                      <w:szCs w:val="22"/>
                      <w:lang w:val="pl-PL" w:eastAsia="en-US" w:bidi="ar-SA"/>
                    </w:rPr>
                    <w:t xml:space="preserve">, Treichel Wiktor, Stachurski Marcin,  Witkom, 2010,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Algorytmizacja i programowanie w MATLABIE</w:t>
                  </w:r>
                  <w:r>
                    <w:rPr>
                      <w:rFonts w:eastAsia="Calibri" w:cs="" w:cstheme="minorBidi" w:eastAsiaTheme="minorHAnsi"/>
                      <w:color w:val="auto"/>
                      <w:kern w:val="0"/>
                      <w:sz w:val="22"/>
                      <w:szCs w:val="22"/>
                      <w:lang w:val="pl-PL" w:eastAsia="en-US" w:bidi="ar-SA"/>
                    </w:rPr>
                    <w:t xml:space="preserve">, Kazimierz Banasiak,  BTC, 2017,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Programowanie, algorytmy numeryczne i modelowanie w MATLABIE</w:t>
                  </w:r>
                  <w:r>
                    <w:rPr>
                      <w:rFonts w:eastAsia="Calibri" w:cs="" w:cstheme="minorBidi" w:eastAsiaTheme="minorHAnsi"/>
                      <w:color w:val="auto"/>
                      <w:kern w:val="0"/>
                      <w:sz w:val="22"/>
                      <w:szCs w:val="22"/>
                      <w:lang w:val="pl-PL" w:eastAsia="en-US" w:bidi="ar-SA"/>
                    </w:rPr>
                    <w:t xml:space="preserve">, Aldona Garbacz - Klempka, Bogusław Świątek, Ryszard Klempka,  Wydawnictwa AGH, 2017,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MATLAB w dzialaniu. Ćwiczenia i zadania</w:t>
                  </w:r>
                  <w:r>
                    <w:rPr>
                      <w:rFonts w:eastAsia="Calibri" w:cs="" w:cstheme="minorBidi" w:eastAsiaTheme="minorHAnsi"/>
                      <w:color w:val="auto"/>
                      <w:kern w:val="0"/>
                      <w:sz w:val="22"/>
                      <w:szCs w:val="22"/>
                      <w:lang w:val="pl-PL" w:eastAsia="en-US" w:bidi="ar-SA"/>
                    </w:rPr>
                    <w:t xml:space="preserve">, Wiktor Treichel,  Wydawnictwo M,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Podstawy sieci komputerowych</w:t>
                  </w:r>
                  <w:r>
                    <w:rPr>
                      <w:rFonts w:eastAsia="Calibri" w:cs="" w:cstheme="minorBidi" w:eastAsiaTheme="minorHAnsi"/>
                      <w:color w:val="auto"/>
                      <w:kern w:val="0"/>
                      <w:sz w:val="22"/>
                      <w:szCs w:val="22"/>
                      <w:lang w:val="pl-PL" w:eastAsia="en-US" w:bidi="ar-SA"/>
                    </w:rPr>
                    <w:t xml:space="preserve">, Russell Bradford,  Helion, 2009,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Sieci komputerowe. Kompendium</w:t>
                  </w:r>
                  <w:r>
                    <w:rPr>
                      <w:rFonts w:eastAsia="Calibri" w:cs="" w:cstheme="minorBidi" w:eastAsiaTheme="minorHAnsi"/>
                      <w:color w:val="auto"/>
                      <w:kern w:val="0"/>
                      <w:sz w:val="22"/>
                      <w:szCs w:val="22"/>
                      <w:lang w:val="pl-PL" w:eastAsia="en-US" w:bidi="ar-SA"/>
                    </w:rPr>
                    <w:t xml:space="preserve">, Karol Krysiak,  Helion, 2005,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12.  </w:t>
                  </w:r>
                  <w:r>
                    <w:rPr>
                      <w:rFonts w:eastAsia="Calibri" w:cs="" w:cstheme="minorBidi" w:eastAsiaTheme="minorHAnsi"/>
                      <w:b/>
                      <w:bCs/>
                      <w:i/>
                      <w:iCs/>
                      <w:color w:val="auto"/>
                      <w:kern w:val="0"/>
                      <w:sz w:val="22"/>
                      <w:szCs w:val="22"/>
                      <w:lang w:val="pl-PL" w:eastAsia="en-US" w:bidi="ar-SA"/>
                    </w:rPr>
                    <w:t xml:space="preserve">Matlab – środowisko obliczeń naukowo – technicznych</w:t>
                  </w:r>
                  <w:r>
                    <w:rPr>
                      <w:rFonts w:eastAsia="Calibri" w:cs="" w:cstheme="minorBidi" w:eastAsiaTheme="minorHAnsi"/>
                      <w:color w:val="auto"/>
                      <w:kern w:val="0"/>
                      <w:sz w:val="22"/>
                      <w:szCs w:val="22"/>
                      <w:lang w:val="pl-PL" w:eastAsia="en-US" w:bidi="ar-SA"/>
                    </w:rPr>
                    <w:t xml:space="preserve">, Brzózka J., Dorobczyński L.,  MIKOM, 2005,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13.  </w:t>
                  </w:r>
                  <w:r>
                    <w:rPr>
                      <w:rFonts w:eastAsia="Calibri" w:cs="" w:cstheme="minorBidi" w:eastAsiaTheme="minorHAnsi"/>
                      <w:b/>
                      <w:bCs/>
                      <w:i/>
                      <w:iCs/>
                      <w:color w:val="auto"/>
                      <w:kern w:val="0"/>
                      <w:sz w:val="22"/>
                      <w:szCs w:val="22"/>
                      <w:lang w:val="pl-PL" w:eastAsia="en-US" w:bidi="ar-SA"/>
                    </w:rPr>
                    <w:t xml:space="preserve">Ćwiczenia. MATLAB</w:t>
                  </w:r>
                  <w:r>
                    <w:rPr>
                      <w:rFonts w:eastAsia="Calibri" w:cs="" w:cstheme="minorBidi" w:eastAsiaTheme="minorHAnsi"/>
                      <w:color w:val="auto"/>
                      <w:kern w:val="0"/>
                      <w:sz w:val="22"/>
                      <w:szCs w:val="22"/>
                      <w:lang w:val="pl-PL" w:eastAsia="en-US" w:bidi="ar-SA"/>
                    </w:rPr>
                    <w:t xml:space="preserve">, M.Czajka,  Helion, 2005,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14.  </w:t>
                  </w:r>
                  <w:r>
                    <w:rPr>
                      <w:rFonts w:eastAsia="Calibri" w:cs="" w:cstheme="minorBidi" w:eastAsiaTheme="minorHAnsi"/>
                      <w:b/>
                      <w:bCs/>
                      <w:i/>
                      <w:iCs/>
                      <w:color w:val="auto"/>
                      <w:kern w:val="0"/>
                      <w:sz w:val="22"/>
                      <w:szCs w:val="22"/>
                      <w:lang w:val="pl-PL" w:eastAsia="en-US" w:bidi="ar-SA"/>
                    </w:rPr>
                    <w:t xml:space="preserve">Obliczenia symboliczne i numeryczne w programie MATLAB</w:t>
                  </w:r>
                  <w:r>
                    <w:rPr>
                      <w:rFonts w:eastAsia="Calibri" w:cs="" w:cstheme="minorBidi" w:eastAsiaTheme="minorHAnsi"/>
                      <w:color w:val="auto"/>
                      <w:kern w:val="0"/>
                      <w:sz w:val="22"/>
                      <w:szCs w:val="22"/>
                      <w:lang w:val="pl-PL" w:eastAsia="en-US" w:bidi="ar-SA"/>
                    </w:rPr>
                    <w:t xml:space="preserve">, W. Regel,  MIKOM, 2004,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A - przedmioty podstawowe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drugi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Technologie informacyjne w geodezji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Obsługa komputera na poziomie systemu i aplikacji.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Dariusz Gościewski, dariusz.gosciewski@uwm.edu.pl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08N1-INFORgik</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Informatyka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Informatics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9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27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opracowanie sprawozdań i dokumentacji elektronicznej</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22.00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ćwiczeń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12.00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zaliczenia egzaminu pisemnego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opracowanie aplikacji programowych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22.00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81.00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108.00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108.00</w:t>
      </w:r>
      <w:r>
        <w:rPr/>
        <w:t xml:space="preserve"> h :  27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3.00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