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</w:t>
              <w:br/>
              <w:t xml:space="preserve">następujących tematów: zapoznawanie się, system edukacji i szkolnictwa wyższego, opis człowieka i</w:t>
              <w:br/>
              <w:t xml:space="preserve">osobowości, rodzina, uczucia, podróże, nauka języków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</w:t>
                    <w:br/>
                    <w:t xml:space="preserve">następujących tematów: zapoznawanie się, system edukacji i szkolnictwa wyższego, opis człowieka i</w:t>
                    <w:br/>
                    <w:t xml:space="preserve">osobowości, rodzina, uczucia, podróże, nauka języków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