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08S1-SIOT1</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Systemy informacji o terenie</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2024Z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Land Information Systems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4.00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Kluczowe funkcje</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 komputerowe</w:t>
            </w:r>
          </w:p>
          <w:p>
            <w:pPr>
              <w:pStyle w:val="Normal"/>
              <w:spacing w:lineRule="auto" w:line="240" w:before="0" w:after="0"/>
              <w:rPr>
                <w:b w:val="false"/>
                <w:b w:val="false"/>
                <w:bCs w:val="false"/>
              </w:rPr>
            </w:pPr>
            <w:r>
              <w:rPr>
                <w:b w:val="false"/>
                <w:bCs w:val="false"/>
                <w:sz w:val="24"/>
                <w:szCs w:val="24"/>
                <w:lang w:val="en-US"/>
              </w:rPr>
              <w:t xml:space="preserve">-</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Zapoznanie studenta z podstawowymi pojęciami z zakresu informacji przestrzennej, zasadami tworzenia podstawowych struktur danych oraz metodami pozyskiwania i eksploatacji danych.</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IT/IL1A_K03+, IT/IL1A_U07+, IT/IL1A_W07+</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GiK1A_GiG_K02+, GiK1A_GiG_U03+, GiK1A_GiG_W03+</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Potrafi współdziałać i pracować w grupie podczas realizacji różnych projektów inżynierskich.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Wykorzystuje narzędzia, metody i opracowania informatyczne oraz kartograficzne w procesach budowy systemów informacji przestrzennej.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Posiada podstawową wiedzę z zakresu kartografii i topografii w tym systemów informacji przestrzennej. (GiK1A_W07).</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Wykład-['W1']-Wykład z prezentacją multimedialną.-Kluczowe funkcje</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komputerowe-[]-Ćwiczenia komputerowe - Dyskusja/rozwiązywanie zadań/ćwiczenia przedmiotowe/projekty.--</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Wykład-(Ocena pracy i wspólpracy w grupie)-['K1']-Zaliczenie wykładu na podstawie obecności i aktywności na zajęciach oraz czynnego udziału w dyskusji. Wszystkie nieobecności muszą być usprawiedliwione zaświadczeniem wystawionym przez lekarza bądź opiekuna roku</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komputerowe-(Projekt)-[]-P1: Studenci przygotowują projekt bazy danych (P1) w wersji papierowej lub elektronicznej (praca indywidualna). Warunkiem zaliczenia projektu jest jego terminowe złożenie i pozytywna ocena. Punktacja pozytywnie zaliczonego projektu zostanie przedstawiona w skali punktowej 3.0-5.0.</w:t>
                    <w:br/>
                    <w:t xml:space="preserve">P2: Studenci przygotowują projekt SIP (P2) w wersji elektronicznej (praca w grupach na stanowiskach roboczych). Warunkiem zaliczenia projektu jest wykonanie wszystkich podanych zadań. Czynności kontrolne zweryfikują, na różnych etapach realizacji projektu, jakość działań studentów. Wykorzystane zostaną narzędzia wbudowane, programy kontrolne opracowane przez prowadzącego i zasady logiki. Projekt zostanie oceniony w skali punktowej 2.0-5.0.</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komputerowe-(Kolokwium pisemne)-[]-Sprawdzenie poprawności utworzonych poleceń w języku SQL. Polecenia są punktowane. Łączna liczba możliwych do zdobycia punktów zostanie przeliczona do skali 0-5. Sprawdzian uznaje się za zaliczony jeżeli student zdobędzie minimum 2.9 pkt. Można dwukrotnie poprawiać kolokwium. W przypadku poprawy punktacja tego elementu uwzględni z wagą wszystkie próby zaliczenia.</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GIS - Teoria i praktyka.</w:t>
                  </w:r>
                  <w:r>
                    <w:rPr>
                      <w:rFonts w:eastAsia="Calibri" w:cs="" w:cstheme="minorBidi" w:eastAsiaTheme="minorHAnsi"/>
                      <w:color w:val="auto"/>
                      <w:kern w:val="0"/>
                      <w:sz w:val="22"/>
                      <w:szCs w:val="22"/>
                      <w:lang w:val="pl-PL" w:eastAsia="en-US" w:bidi="ar-SA"/>
                    </w:rPr>
                    <w:t xml:space="preserve">, Longley P., Goodchild M., Maguire D., Rhind D.,  PWN, 2008,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Systemy informacji geograficznej. Teoria i zastosowania.</w:t>
                  </w:r>
                  <w:r>
                    <w:rPr>
                      <w:rFonts w:eastAsia="Calibri" w:cs="" w:cstheme="minorBidi" w:eastAsiaTheme="minorHAnsi"/>
                      <w:color w:val="auto"/>
                      <w:kern w:val="0"/>
                      <w:sz w:val="22"/>
                      <w:szCs w:val="22"/>
                      <w:lang w:val="pl-PL" w:eastAsia="en-US" w:bidi="ar-SA"/>
                    </w:rPr>
                    <w:t xml:space="preserve">, Bielecka E.,  PJWSTK, 2006,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3.  </w:t>
                  </w:r>
                  <w:r>
                    <w:rPr>
                      <w:rFonts w:eastAsia="Calibri" w:cs="" w:cstheme="minorBidi" w:eastAsiaTheme="minorHAnsi"/>
                      <w:b/>
                      <w:bCs/>
                      <w:i/>
                      <w:iCs/>
                      <w:color w:val="auto"/>
                      <w:kern w:val="0"/>
                      <w:sz w:val="22"/>
                      <w:szCs w:val="22"/>
                      <w:lang w:val="pl-PL" w:eastAsia="en-US" w:bidi="ar-SA"/>
                    </w:rPr>
                    <w:t xml:space="preserve">GIS dla każdego.</w:t>
                  </w:r>
                  <w:r>
                    <w:rPr>
                      <w:rFonts w:eastAsia="Calibri" w:cs="" w:cstheme="minorBidi" w:eastAsiaTheme="minorHAnsi"/>
                      <w:color w:val="auto"/>
                      <w:kern w:val="0"/>
                      <w:sz w:val="22"/>
                      <w:szCs w:val="22"/>
                      <w:lang w:val="pl-PL" w:eastAsia="en-US" w:bidi="ar-SA"/>
                    </w:rPr>
                    <w:t xml:space="preserve">, Davis D. E.,  Mikom, 2006,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4.  </w:t>
                  </w:r>
                  <w:r>
                    <w:rPr>
                      <w:rFonts w:eastAsia="Calibri" w:cs="" w:cstheme="minorBidi" w:eastAsiaTheme="minorHAnsi"/>
                      <w:b/>
                      <w:bCs/>
                      <w:i/>
                      <w:iCs/>
                      <w:color w:val="auto"/>
                      <w:kern w:val="0"/>
                      <w:sz w:val="22"/>
                      <w:szCs w:val="22"/>
                      <w:lang w:val="pl-PL" w:eastAsia="en-US" w:bidi="ar-SA"/>
                    </w:rPr>
                    <w:t xml:space="preserve">GIS. Obszary zastosowań.</w:t>
                  </w:r>
                  <w:r>
                    <w:rPr>
                      <w:rFonts w:eastAsia="Calibri" w:cs="" w:cstheme="minorBidi" w:eastAsiaTheme="minorHAnsi"/>
                      <w:color w:val="auto"/>
                      <w:kern w:val="0"/>
                      <w:sz w:val="22"/>
                      <w:szCs w:val="22"/>
                      <w:lang w:val="pl-PL" w:eastAsia="en-US" w:bidi="ar-SA"/>
                    </w:rPr>
                    <w:t xml:space="preserve">, Gotlib D., Iwaniak A., Olszewski R.,  PWN, 2008,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5.  </w:t>
                  </w:r>
                  <w:r>
                    <w:rPr>
                      <w:rFonts w:eastAsia="Calibri" w:cs="" w:cstheme="minorBidi" w:eastAsiaTheme="minorHAnsi"/>
                      <w:b/>
                      <w:bCs/>
                      <w:i/>
                      <w:iCs/>
                      <w:color w:val="auto"/>
                      <w:kern w:val="0"/>
                      <w:sz w:val="22"/>
                      <w:szCs w:val="22"/>
                      <w:lang w:val="pl-PL" w:eastAsia="en-US" w:bidi="ar-SA"/>
                    </w:rPr>
                    <w:t xml:space="preserve">Kartografia: wizualizacja danych przestrzennych.</w:t>
                  </w:r>
                  <w:r>
                    <w:rPr>
                      <w:rFonts w:eastAsia="Calibri" w:cs="" w:cstheme="minorBidi" w:eastAsiaTheme="minorHAnsi"/>
                      <w:color w:val="auto"/>
                      <w:kern w:val="0"/>
                      <w:sz w:val="22"/>
                      <w:szCs w:val="22"/>
                      <w:lang w:val="pl-PL" w:eastAsia="en-US" w:bidi="ar-SA"/>
                    </w:rPr>
                    <w:t xml:space="preserve">, Kraak M.-J., Ormeling F.,  PWN, 1998,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6.  </w:t>
                  </w:r>
                  <w:r>
                    <w:rPr>
                      <w:rFonts w:eastAsia="Calibri" w:cs="" w:cstheme="minorBidi" w:eastAsiaTheme="minorHAnsi"/>
                      <w:b/>
                      <w:bCs/>
                      <w:i/>
                      <w:iCs/>
                      <w:color w:val="auto"/>
                      <w:kern w:val="0"/>
                      <w:sz w:val="22"/>
                      <w:szCs w:val="22"/>
                      <w:lang w:val="pl-PL" w:eastAsia="en-US" w:bidi="ar-SA"/>
                    </w:rPr>
                    <w:t xml:space="preserve">GIS w geografii fizycznej.</w:t>
                  </w:r>
                  <w:r>
                    <w:rPr>
                      <w:rFonts w:eastAsia="Calibri" w:cs="" w:cstheme="minorBidi" w:eastAsiaTheme="minorHAnsi"/>
                      <w:color w:val="auto"/>
                      <w:kern w:val="0"/>
                      <w:sz w:val="22"/>
                      <w:szCs w:val="22"/>
                      <w:lang w:val="pl-PL" w:eastAsia="en-US" w:bidi="ar-SA"/>
                    </w:rPr>
                    <w:t xml:space="preserve">, Magnuszewski A.,  PWN, 1999,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(Geodezja i kartografia),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Fakultatywny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C - przedmioty specjalnościowe/związane z zakresem kształcenia</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Geodezja, kartografia,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Geodezja i kartografia - studia pierwszego stopnia inżynierskie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Geodezja i geoinformatyka trzeci rok semestr piąty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Podstawy informatyki.</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Wiedza z zakresu informatyki ogólnej, podstaw informatyki biurowej, w tym z użytkowania komputerów i oprogramowania. Podstawowa wiedza z zakresu baz danych.</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Małgorzata Gerus-Gościewska, chagos@uwm.edu.pl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Cezary Czyżewski, cezary.czyzewski@uwm.edu.pl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08S1-SIOT1</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Systemy informacji o terenie</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2024Z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Land Information Systems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4.00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15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komputerowe</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0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45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konsultacje z prowadzącym zajęcia</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15.00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zajęć i kolokwium, opracowanie projektu bazy danych</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60.00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75.00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120.00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120.00</w:t>
      </w:r>
      <w:r>
        <w:rPr/>
        <w:t xml:space="preserve"> h :  30 h/ECTS = </w:t>
      </w:r>
      <w:r>
        <w:rPr>
          <w:rFonts w:eastAsia="Calibri" w:cs="" w:cstheme="minorBidi" w:eastAsiaTheme="minorHAnsi"/>
          <w:b/>
          <w:bCs/>
          <w:color w:val="auto"/>
          <w:kern w:val="0"/>
          <w:sz w:val="22"/>
          <w:szCs w:val="22"/>
          <w:lang w:val="pl-PL" w:eastAsia="en-US" w:bidi="ar-SA"/>
        </w:rPr>
        <w:t xml:space="preserve">4.00</w:t>
      </w:r>
      <w:r>
        <w:rPr/>
        <w:t xml:space="preserve"> ECTS </w:t>
      </w:r>
    </w:p>
    <w:p>
      <w:pPr>
        <w:pStyle w:val="Normal"/>
        <w:rPr>
          <w:b/>
          <w:b/>
          <w:bCs/>
        </w:rPr>
      </w:pPr>
      <w:r>
        <w:rPr/>
        <w:t xml:space="preserve">Średnio: 4.00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1.50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2.50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