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Rachunek macierzowy. Podstawy geometrii analitycznej: rachunek wektorowy, prosta i płaszczyzna w przestrzeni, przykłady powierzchni. Elementy rachunku różniczkowego i całkowego wielu zmiennych. Liczby zespolone.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zadań. Zadania tekstowe z zastosowań wykładanego materiału.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podstawowych metod matematyki wyższej niezbędne w pracy inżynierskiej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IT/ISG1A_U07+, IT/ISG1A_U02+,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K1_U03+, K1_U08+,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i podnoszenia kompetencji zawodowych.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poznany aparat matematyczny do studiowania innych przedmiotów.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definicje i twierdzenia z zakresu rachunku całkowego, macierzowego i geometrii analitycznej.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multimedialną.-Rachunek macierzowy. Podstawy geometrii analitycznej: rachunek wektorowy, prosta i płaszczyzna w przestrzeni, przykłady powierzchni. Elementy rachunku różniczkowego i całkowego wielu zmiennych. Liczby zespolone.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 - rozwiązywanie zadań.-Rozwiązywanie zadań. Zadania tekstowe z zastosowań wykładanego materiału.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'W1']-Zadania kompleksowe.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ustny)-['K1', 'U1']-weryfikacja znajomości podstawowych definicji.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'U1']-Pozytywne zaliczenie dwóch kolokwiów.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I - w semestrze zimowym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rachunku różniczkowego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Żyjewski, krzysztof.zyjewski@uwm.edu.pl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