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miejsce zamieszkania (wady, zalety), ogłoszenia i poradniki, miasta kiedyś i dziś, stolice kulturalne Europy, prasa i telewizja, biografie znanych artystów, nowoczesne technologie, wiek (wady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(na studiach jednolitych magisterskich docelowo B2+)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</w:t>
              <w:br/>
              <w:t xml:space="preserve">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IT/ISG1A_U06+,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K1_U01+,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B2, na studiach jednolitych magisterskich docelowo B2+)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B2, na studiach jednolitych magisterskich docelowo B2+),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miejsce zamieszkania (wady, zalety), ogłoszenia i poradniki, miasta kiedyś i dziś, stolice kulturalne Europy, prasa i telewizja, biografie znanych artystów, nowoczesne technologie, wiek (wady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