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49S2-BEP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Biotechnology in environmental protection</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Biotechnology in environmental protection</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Technological strategies for biodegradable polymers – production of polyhydroxyalkanoates (PHAs) using pure and mixed microbial cultures. Techniques of remediation and bioremediation of soils contaminated with heavy metals and polycyclic aromatic hydrocarbons (PAHs). Types and properties of biosurfactants used in soil bioremediation. The use of biosorption for removing dyes from wasterwater</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laboratoryjne</w:t>
            </w:r>
          </w:p>
          <w:p>
            <w:pPr>
              <w:pStyle w:val="Normal"/>
              <w:spacing w:lineRule="auto" w:line="240" w:before="0" w:after="0"/>
              <w:rPr>
                <w:b w:val="false"/>
                <w:b w:val="false"/>
                <w:bCs w:val="false"/>
              </w:rPr>
            </w:pPr>
            <w:r>
              <w:rPr>
                <w:b w:val="false"/>
                <w:bCs w:val="false"/>
                <w:sz w:val="24"/>
                <w:szCs w:val="24"/>
                <w:lang w:val="en-US"/>
              </w:rPr>
              <w:t xml:space="preserve">The effect of carbon to nitrogen ratio (C/N) in the culture medium on the efficiency of PHAs accumulation in activated sludge. The use of biosurfactants of plant and microbial origin for heavy metals removal from soils. The effect of operational conditions for removal on PAHs from soils using biosurfactants.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The aim of the course is to acquire knowledge on the use of biological systems for the protection and restoration of the environment and the use of technological systems compatible with the concept of sustainable development</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IT/ISG2A_K06+, IT/ISG2A_K04+, IT/ISG2A_K03+, IT/ISG2A_K02+, IT/ISG2A_K05+, IT/ISG2A_K07+, IT/ISG2A_U05+, IT/ISG2A_U02+, IT/ISG2A_U10+, IT/ISG2A_U09+, IT/ISG2A_U04+, IT/ISG2A_W03++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K2_K01+, K2_K02+, K2_U02+, K2_U07+, K2_U13+, K2_W09++</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 student will be able to cowork in a group</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He will understand the importance of biotechnology methods in protection and restoration of the environmen</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 student will be able to perform bath culture of activated sludge for polyhydroxyalkanoates production. He will be able to determine kinetics constants and the rates of substrate consumption and PHA accumulation as well as PHA yield coefficient and volumetric productivity</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The student will be able to conduct a washing process for soils contaminated with heavy metals using biosurfactants in batch experiments. He will be able to determine kinetics constants and the efficiency of metal removal. The student will be able to detrmine the efficiency of PAHs removal from soils using biosurfactants in ifferent operational conditions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He will also be able to determine the degree of biosurfactants sorption onto soil. He will be able to determine the adsorption capacity of biosorbents and evaluate their efficiency of dye removal from aqueous solutions. He will be able to fit adsorption isotherm models and determine adsorption censtants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 student will have knowledge of the application of technological strategies compatible with the concept of sustainable development, e.i. production of biodegradable polymers as packaging materials. He will describe methods of remediation and bioremediation that are used for a treatment of chemically degraded soils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He will have knowledge of the sorbents and biosorbents used for wastewater treatment</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'K2', 'W2']-information lecture, multimedia presentation-Technological strategies for biodegradable polymers – production of polyhydroxyalkanoates (PHAs) using pure and mixed microbial cultures. Techniques of remediation and bioremediation of soils contaminated with heavy metals and polycyclic aromatic hydrocarbons (PAHs). Types and properties of biosurfactants used in soil bioremediation. The use of biosorption for removing dyes from wasterwater</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laboratoryjne-['K1', 'U1', 'U2', 'U3']-laboratorial exercises-The effect of carbon to nitrogen ratio (C/N) in the culture medium on the efficiency of PHAs accumulation in activated sludge. The use of biosurfactants of plant and microbial origin for heavy metals removal from soils. The effect of operational conditions for removal on PAHs from soils using biosurfactants.</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pisemny)-['W1', 'K2', 'W2']-a test; to pass the test, students must receive a mark of at least 55% maximum possible number of points.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laboratoryjne-(Sprawozdanie)-['K1', 'U1', 'U2', 'U3']-grading, based on the partial grades for reports</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Process Engineering and Environmental Protection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Process Engineering and Environmental Protection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chemistry, biochemistry, microbiology, mathematics and statistics</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basic knowledge of mathematics, chemistry, biochemistry and microbiology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Tomasz Pokój, tomasz.pokoj@uwm.edu.pl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49S2-BEP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Biotechnology in environmental protection</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Biotechnology in environmental protection</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11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laboratoryjne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34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4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49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 laboratoryjnych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20.50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8.00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sprawozdania</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38.50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87.50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87.50</w:t>
      </w:r>
      <w:r>
        <w:rPr/>
        <w:t xml:space="preserve"> h :  25 h/ECTS = </w:t>
      </w:r>
      <w:r>
        <w:rPr>
          <w:rFonts w:eastAsia="Calibri" w:cs="" w:cstheme="minorBidi" w:eastAsiaTheme="minorHAnsi"/>
          <w:b/>
          <w:bCs/>
          <w:color w:val="auto"/>
          <w:kern w:val="0"/>
          <w:sz w:val="22"/>
          <w:szCs w:val="22"/>
          <w:lang w:val="pl-PL" w:eastAsia="en-US" w:bidi="ar-SA"/>
        </w:rPr>
        <w:t xml:space="preserve">3.50</w:t>
      </w:r>
      <w:r>
        <w:rPr/>
        <w:t xml:space="preserve"> ECTS </w:t>
      </w:r>
    </w:p>
    <w:p>
      <w:pPr>
        <w:pStyle w:val="Normal"/>
        <w:rPr>
          <w:b/>
          <w:b/>
          <w:bCs/>
        </w:rPr>
      </w:pPr>
      <w:r>
        <w:rPr/>
        <w:t xml:space="preserve">Średnio: 3.50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1.96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1.54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